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76625" cy="1685925"/>
            <wp:effectExtent l="0" t="0" r="0" b="0"/>
            <wp:docPr id="1" name="Рисунок 1" descr="лог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jc w:val="right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>ПРЕСС-РЕЛИЗ</w:t>
      </w:r>
    </w:p>
    <w:p>
      <w:pPr>
        <w:spacing w:after="0"/>
        <w:jc w:val="right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>25 июня 2019</w:t>
      </w:r>
    </w:p>
    <w:p>
      <w:pPr>
        <w:spacing w:after="0"/>
        <w:jc w:val="right"/>
        <w:rPr>
          <w:rFonts w:ascii="Segoe UI" w:hAnsi="Segoe UI" w:cs="Segoe UI"/>
          <w:b/>
          <w:sz w:val="24"/>
          <w:szCs w:val="24"/>
        </w:rPr>
      </w:pPr>
    </w:p>
    <w:p>
      <w:pPr>
        <w:spacing w:after="0" w:line="360" w:lineRule="auto"/>
        <w:jc w:val="center"/>
        <w:rPr>
          <w:rFonts w:ascii="Segoe UI" w:hAnsi="Segoe UI" w:cs="Segoe UI"/>
          <w:b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 xml:space="preserve">В Самарской области застройщики уже работают </w:t>
      </w:r>
    </w:p>
    <w:p>
      <w:pPr>
        <w:spacing w:after="0" w:line="360" w:lineRule="auto"/>
        <w:jc w:val="center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b/>
          <w:sz w:val="28"/>
          <w:szCs w:val="28"/>
        </w:rPr>
        <w:t xml:space="preserve">с использованием </w:t>
      </w:r>
      <w:proofErr w:type="spellStart"/>
      <w:r>
        <w:rPr>
          <w:rFonts w:ascii="Segoe UI" w:hAnsi="Segoe UI" w:cs="Segoe UI"/>
          <w:b/>
          <w:sz w:val="28"/>
          <w:szCs w:val="28"/>
        </w:rPr>
        <w:t>эскроу</w:t>
      </w:r>
      <w:proofErr w:type="spellEnd"/>
      <w:r>
        <w:rPr>
          <w:rFonts w:ascii="Segoe UI" w:hAnsi="Segoe UI" w:cs="Segoe UI"/>
          <w:b/>
          <w:sz w:val="28"/>
          <w:szCs w:val="28"/>
        </w:rPr>
        <w:t>-счетов</w:t>
      </w:r>
    </w:p>
    <w:p>
      <w:pPr>
        <w:spacing w:after="0" w:line="360" w:lineRule="auto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Строительные компании нашего региона по-разному отреагировали на новеллы законодательства о введении счетов-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 xml:space="preserve"> для долевого строительства. Одни делают все возможное, чтобы работать по старым правилам, другие активно осваивают новую технологию. Что касается дольщиков, то Управление Росреестра по Самарской области рекомендует им оставаться бдительными, и изучать девелопера даже при покупке недвижимости с использованием счетов 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 xml:space="preserve">. </w:t>
      </w:r>
    </w:p>
    <w:p>
      <w:pPr>
        <w:spacing w:after="0" w:line="360" w:lineRule="auto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С 1 июля этого года строительные компании, привлекающие средства граждан, обязаны перейти на технологию долевого строительства жилья с применением 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>-счетов. Вместе с тем для ряда проектов будут сделаны исключения, и они смогут работать по старой схеме. Это касается компаний, готовность объектов которых составляет не менее 30% и которые продали по договорам участия не менее 10% площадей.</w:t>
      </w:r>
    </w:p>
    <w:p>
      <w:pPr>
        <w:spacing w:after="0" w:line="360" w:lineRule="auto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Управление Росреестра по Самарской области констатирует: ряд строительных компаний в нашей губернии стремятся обеспечить себе право работать по старой схеме. «За последние три недели услуга по регистрации договоров участия в долевом строительстве стала еще более востребована, - делится наблюдением начальник отдела регистрации долевого участия в строительстве Управления Росреестра по Самарской области </w:t>
      </w:r>
      <w:r>
        <w:rPr>
          <w:rFonts w:ascii="Segoe UI" w:hAnsi="Segoe UI" w:cs="Segoe UI"/>
          <w:b/>
          <w:sz w:val="24"/>
          <w:szCs w:val="24"/>
        </w:rPr>
        <w:t>Сергей Лазарев</w:t>
      </w:r>
      <w:r>
        <w:rPr>
          <w:rFonts w:ascii="Segoe UI" w:hAnsi="Segoe UI" w:cs="Segoe UI"/>
          <w:sz w:val="24"/>
          <w:szCs w:val="24"/>
        </w:rPr>
        <w:t xml:space="preserve">. – Документы поступают целыми коробками, а в одном заявлении зачастую </w:t>
      </w:r>
      <w:r>
        <w:rPr>
          <w:rFonts w:ascii="Segoe UI" w:hAnsi="Segoe UI" w:cs="Segoe UI"/>
          <w:sz w:val="24"/>
          <w:szCs w:val="24"/>
        </w:rPr>
        <w:lastRenderedPageBreak/>
        <w:t xml:space="preserve">содержится по 20-50 договоров участия в долевом строительстве». Таким образом застройщики стараются набрать 10% зарегистрированной площади в объекте. Дольщикам, которые запланируют покупку в таком здании, стоит помнить, что в списке документов о деятельности компании, которые им стоит посмотреть на сайте </w:t>
      </w:r>
      <w:proofErr w:type="spellStart"/>
      <w:r>
        <w:rPr>
          <w:rFonts w:ascii="Segoe UI" w:hAnsi="Segoe UI" w:cs="Segoe UI"/>
          <w:sz w:val="24"/>
          <w:szCs w:val="24"/>
        </w:rPr>
        <w:t>дом.рф</w:t>
      </w:r>
      <w:proofErr w:type="spellEnd"/>
      <w:r>
        <w:rPr>
          <w:rFonts w:ascii="Segoe UI" w:hAnsi="Segoe UI" w:cs="Segoe UI"/>
          <w:sz w:val="24"/>
          <w:szCs w:val="24"/>
        </w:rPr>
        <w:t xml:space="preserve">, теперь должно быть еще и заключение министерства строительства Самарской области о степени готовности объекта.  </w:t>
      </w:r>
    </w:p>
    <w:p>
      <w:pPr>
        <w:spacing w:after="0" w:line="360" w:lineRule="auto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Вместе с тем в Самарской области есть компании, которые перешли на технологию работы с использованием счетов-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 xml:space="preserve"> уже в прошлом году. Напомним, что это предусматривает использование застройщиком только собственных средств или кредитов. Деньги дольщиков при этом ожидают компанию на специальном сберегательном счете в банке. </w:t>
      </w:r>
      <w:r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 xml:space="preserve">И только когда здание будет вводиться в эксплуатацию, и покупатели начнут оформлять квартиры в собственность, банк переведет средства с </w:t>
      </w:r>
      <w:proofErr w:type="spellStart"/>
      <w:r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эскроу</w:t>
      </w:r>
      <w:proofErr w:type="spellEnd"/>
      <w:r>
        <w:rPr>
          <w:rFonts w:ascii="Segoe UI" w:hAnsi="Segoe UI" w:cs="Segoe UI"/>
          <w:color w:val="000000" w:themeColor="text1"/>
          <w:sz w:val="24"/>
          <w:szCs w:val="24"/>
          <w:shd w:val="clear" w:color="auto" w:fill="FFFFFF"/>
        </w:rPr>
        <w:t>-счетов застройщику.</w:t>
      </w:r>
      <w:r>
        <w:rPr>
          <w:rFonts w:ascii="Segoe UI" w:hAnsi="Segoe UI" w:cs="Segoe UI"/>
          <w:color w:val="000000" w:themeColor="text1"/>
          <w:sz w:val="24"/>
          <w:szCs w:val="24"/>
        </w:rPr>
        <w:t xml:space="preserve"> </w:t>
      </w:r>
      <w:r>
        <w:rPr>
          <w:rFonts w:ascii="Segoe UI" w:hAnsi="Segoe UI" w:cs="Segoe UI"/>
          <w:sz w:val="24"/>
          <w:szCs w:val="24"/>
        </w:rPr>
        <w:t xml:space="preserve">«В 2018 году договоров, заключенных с использованием счетов 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 xml:space="preserve"> было 16 за весь год, - констатирует Сергей Лазарев. – В этом году их значительно больше: только за пять месяцев 2019 года таких договоров уже 42».  </w:t>
      </w:r>
    </w:p>
    <w:p>
      <w:pPr>
        <w:spacing w:after="0" w:line="360" w:lineRule="auto"/>
        <w:ind w:firstLine="708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 Управлении Росреестра отметили, что технология </w:t>
      </w:r>
      <w:proofErr w:type="spellStart"/>
      <w:r>
        <w:rPr>
          <w:rFonts w:ascii="Segoe UI" w:hAnsi="Segoe UI" w:cs="Segoe UI"/>
          <w:sz w:val="24"/>
          <w:szCs w:val="24"/>
        </w:rPr>
        <w:t>эскроу</w:t>
      </w:r>
      <w:proofErr w:type="spellEnd"/>
      <w:r>
        <w:rPr>
          <w:rFonts w:ascii="Segoe UI" w:hAnsi="Segoe UI" w:cs="Segoe UI"/>
          <w:sz w:val="24"/>
          <w:szCs w:val="24"/>
        </w:rPr>
        <w:t xml:space="preserve">-счетов максимально защищает права дольщиков. При этом прежде чем покупать недвижимость ведомство рекомендует обратиться к сайту </w:t>
      </w:r>
      <w:proofErr w:type="spellStart"/>
      <w:r>
        <w:rPr>
          <w:rFonts w:ascii="Segoe UI" w:hAnsi="Segoe UI" w:cs="Segoe UI"/>
          <w:sz w:val="24"/>
          <w:szCs w:val="24"/>
        </w:rPr>
        <w:t>дом.рф</w:t>
      </w:r>
      <w:proofErr w:type="spellEnd"/>
      <w:r>
        <w:rPr>
          <w:rFonts w:ascii="Segoe UI" w:hAnsi="Segoe UI" w:cs="Segoe UI"/>
          <w:sz w:val="24"/>
          <w:szCs w:val="24"/>
        </w:rPr>
        <w:t xml:space="preserve"> и побольше узнать о застройщике и его деятельности. «Это необязательно, однако совершая крупную покупку, важно знать, с какой организацией покупатель планирует сотрудничать», - говорит Сергей Лазарев. </w:t>
      </w:r>
      <w:bookmarkStart w:id="0" w:name="_GoBack"/>
      <w:bookmarkEnd w:id="0"/>
    </w:p>
    <w:p>
      <w:pPr>
        <w:spacing w:after="0"/>
        <w:ind w:firstLine="708"/>
        <w:jc w:val="both"/>
        <w:rPr>
          <w:rFonts w:ascii="Segoe UI" w:hAnsi="Segoe UI" w:cs="Segoe UI"/>
          <w:sz w:val="24"/>
          <w:szCs w:val="24"/>
        </w:rPr>
      </w:pPr>
    </w:p>
    <w:p>
      <w:pPr>
        <w:spacing w:after="0"/>
        <w:ind w:firstLine="708"/>
        <w:jc w:val="both"/>
        <w:rPr>
          <w:rFonts w:ascii="Segoe UI" w:hAnsi="Segoe UI" w:cs="Segoe UI"/>
          <w:sz w:val="24"/>
          <w:szCs w:val="24"/>
        </w:rPr>
      </w:pPr>
    </w:p>
    <w:p>
      <w:pPr>
        <w:spacing w:after="0" w:line="276" w:lineRule="auto"/>
        <w:jc w:val="both"/>
        <w:rPr>
          <w:rFonts w:ascii="Segoe UI" w:hAnsi="Segoe UI" w:cs="Segoe UI"/>
          <w:sz w:val="24"/>
          <w:szCs w:val="24"/>
        </w:rPr>
      </w:pPr>
    </w:p>
    <w:p>
      <w:pPr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Segoe UI" w:hAnsi="Segoe UI" w:cs="Segoe UI"/>
          <w:sz w:val="18"/>
          <w:szCs w:val="1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111125</wp:posOffset>
                </wp:positionV>
                <wp:extent cx="6229350" cy="0"/>
                <wp:effectExtent l="0" t="0" r="19050" b="190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93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7.35pt;margin-top:8.75pt;width:490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" strokecolor="#0070c0"/>
            </w:pict>
          </mc:Fallback>
        </mc:AlternateContent>
      </w:r>
    </w:p>
    <w:p>
      <w:pPr>
        <w:spacing w:after="0" w:line="240" w:lineRule="auto"/>
        <w:jc w:val="both"/>
        <w:rPr>
          <w:sz w:val="28"/>
          <w:szCs w:val="28"/>
        </w:rPr>
      </w:pPr>
    </w:p>
    <w:p>
      <w:pPr>
        <w:spacing w:after="0" w:line="240" w:lineRule="auto"/>
        <w:jc w:val="both"/>
        <w:rPr>
          <w:rFonts w:ascii="Segoe UI" w:hAnsi="Segoe UI" w:cs="Segoe UI"/>
          <w:b/>
          <w:noProof/>
          <w:lang w:eastAsia="sk-SK"/>
        </w:rPr>
      </w:pPr>
      <w:r>
        <w:rPr>
          <w:rFonts w:ascii="Segoe UI" w:hAnsi="Segoe UI" w:cs="Segoe UI"/>
          <w:b/>
          <w:noProof/>
          <w:lang w:eastAsia="sk-SK"/>
        </w:rPr>
        <w:t>Контакты для СМИ:</w:t>
      </w:r>
    </w:p>
    <w:p>
      <w:pPr>
        <w:spacing w:after="0" w:line="24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Ольга Никитина, помощник руководителя Управления Росреестра</w:t>
      </w:r>
    </w:p>
    <w:p>
      <w:pPr>
        <w:spacing w:after="0" w:line="240" w:lineRule="auto"/>
        <w:rPr>
          <w:rFonts w:ascii="Segoe UI" w:eastAsia="Arial Unicode MS" w:hAnsi="Segoe UI" w:cs="Segoe UI"/>
          <w:b/>
          <w:noProof/>
          <w:kern w:val="2"/>
          <w:sz w:val="20"/>
          <w:szCs w:val="20"/>
          <w:lang w:eastAsia="sk-SK" w:bidi="hi-IN"/>
        </w:rPr>
      </w:pPr>
      <w:r>
        <w:rPr>
          <w:rFonts w:ascii="Segoe UI" w:hAnsi="Segoe UI" w:cs="Segoe UI"/>
        </w:rPr>
        <w:t xml:space="preserve">(846) 33-22-555, 8 927 690 73 51, </w:t>
      </w:r>
      <w:hyperlink r:id="rId5" w:history="1"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pr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samara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@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mail</w:t>
        </w:r>
        <w:r>
          <w:rPr>
            <w:rFonts w:ascii="Segoe UI" w:hAnsi="Segoe UI" w:cs="Segoe UI"/>
            <w:color w:val="0000FF"/>
            <w:u w:val="single"/>
            <w:shd w:val="clear" w:color="auto" w:fill="FFFFFF"/>
          </w:rPr>
          <w:t>.</w:t>
        </w:r>
        <w:proofErr w:type="spellStart"/>
        <w:r>
          <w:rPr>
            <w:rFonts w:ascii="Segoe UI" w:hAnsi="Segoe UI" w:cs="Segoe UI"/>
            <w:color w:val="0000FF"/>
            <w:u w:val="single"/>
            <w:shd w:val="clear" w:color="auto" w:fill="FFFFFF"/>
            <w:lang w:val="en-US"/>
          </w:rPr>
          <w:t>ru</w:t>
        </w:r>
        <w:proofErr w:type="spellEnd"/>
      </w:hyperlink>
      <w:r>
        <w:rPr>
          <w:noProof/>
          <w:lang w:eastAsia="ru-RU"/>
        </w:rPr>
        <mc:AlternateContent>
          <mc:Choice Requires="wps">
            <w:drawing>
              <wp:anchor distT="4294967289" distB="4294967289" distL="114300" distR="114300" simplePos="0" relativeHeight="251660288" behindDoc="0" locked="0" layoutInCell="1" allowOverlap="1">
                <wp:simplePos x="0" y="0"/>
                <wp:positionH relativeFrom="column">
                  <wp:posOffset>734695</wp:posOffset>
                </wp:positionH>
                <wp:positionV relativeFrom="paragraph">
                  <wp:posOffset>8547100</wp:posOffset>
                </wp:positionV>
                <wp:extent cx="6000750" cy="0"/>
                <wp:effectExtent l="0" t="0" r="190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00750" cy="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rgbClr val="007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" o:spid="_x0000_s1026" type="#_x0000_t32" style="position:absolute;margin-left:57.85pt;margin-top:673pt;width:472.5pt;height:0;z-index:251660288;visibility:visible;mso-wrap-style:square;mso-width-percent:0;mso-height-percent:0;mso-wrap-distance-left:9pt;mso-wrap-distance-top:-19e-5mm;mso-wrap-distance-right:9pt;mso-wrap-distance-bottom:-19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" strokecolor="#0070c0" strokeweight="1.25pt"/>
            </w:pict>
          </mc:Fallback>
        </mc:AlternateConten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89CCC-A3CC-48E9-AD37-E35486DFE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pr.samara@mail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Ольга Александровна</dc:creator>
  <cp:keywords/>
  <dc:description/>
  <cp:lastModifiedBy>Никитина Ольга Александровна</cp:lastModifiedBy>
  <cp:revision>55</cp:revision>
  <cp:lastPrinted>2019-06-24T12:24:00Z</cp:lastPrinted>
  <dcterms:created xsi:type="dcterms:W3CDTF">2019-06-24T11:29:00Z</dcterms:created>
  <dcterms:modified xsi:type="dcterms:W3CDTF">2019-06-24T13:18:00Z</dcterms:modified>
</cp:coreProperties>
</file>