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</w:tabs>
        <w:spacing w:lineRule="auto" w:line="240" w:before="0" w:after="0"/>
        <w:jc w:val="center"/>
        <w:rPr/>
      </w:pPr>
      <w:r>
        <w:rPr>
          <w:rFonts w:cs="Times New Roman"/>
          <w:b/>
          <w:sz w:val="28"/>
          <w:szCs w:val="28"/>
        </w:rPr>
        <w:t>Собрание представителей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cs="Times New Roman"/>
          <w:b/>
          <w:sz w:val="28"/>
          <w:szCs w:val="28"/>
        </w:rPr>
        <w:t xml:space="preserve">сельского поселения </w:t>
      </w:r>
      <w:r>
        <w:rPr>
          <w:rFonts w:cs="Times New Roman"/>
          <w:b/>
          <w:sz w:val="28"/>
          <w:szCs w:val="28"/>
          <w:lang w:val="ru-RU"/>
        </w:rPr>
        <w:t>Красносамарское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муниципального района Кинельский</w:t>
      </w:r>
    </w:p>
    <w:p>
      <w:pPr>
        <w:pStyle w:val="Normal"/>
        <w:pBdr>
          <w:bottom w:val="single" w:sz="8" w:space="1" w:color="000001"/>
        </w:pBdr>
        <w:spacing w:lineRule="auto" w:line="240" w:before="0" w:after="0"/>
        <w:jc w:val="center"/>
        <w:rPr/>
      </w:pPr>
      <w:r>
        <w:rPr>
          <w:rFonts w:cs="Times New Roman"/>
          <w:b/>
          <w:sz w:val="28"/>
          <w:szCs w:val="28"/>
        </w:rPr>
        <w:t>Самарской области</w:t>
      </w:r>
    </w:p>
    <w:p>
      <w:pPr>
        <w:pStyle w:val="Normal"/>
        <w:keepNext/>
        <w:widowControl w:val="false"/>
        <w:numPr>
          <w:ilvl w:val="1"/>
          <w:numId w:val="1"/>
        </w:numPr>
        <w:tabs>
          <w:tab w:val="left" w:pos="0" w:leader="none"/>
        </w:tabs>
        <w:suppressAutoHyphens w:val="true"/>
        <w:spacing w:lineRule="auto" w:line="240" w:before="0" w:after="0"/>
        <w:jc w:val="center"/>
        <w:outlineLvl w:val="1"/>
        <w:rPr>
          <w:rFonts w:ascii="Times New Roman" w:hAnsi="Times New Roman" w:eastAsia="Lucida Sans Unicode" w:cs="Times New Roman"/>
          <w:b/>
          <w:b/>
          <w:sz w:val="28"/>
          <w:szCs w:val="28"/>
        </w:rPr>
      </w:pPr>
      <w:r>
        <w:rPr>
          <w:rFonts w:eastAsia="Lucida Sans Unicode" w:cs="Times New Roman"/>
          <w:b/>
          <w:sz w:val="28"/>
          <w:szCs w:val="28"/>
        </w:rPr>
      </w:r>
    </w:p>
    <w:p>
      <w:pPr>
        <w:pStyle w:val="Normal"/>
        <w:keepNext/>
        <w:widowControl w:val="false"/>
        <w:numPr>
          <w:ilvl w:val="1"/>
          <w:numId w:val="1"/>
        </w:numPr>
        <w:tabs>
          <w:tab w:val="left" w:pos="0" w:leader="none"/>
        </w:tabs>
        <w:suppressAutoHyphens w:val="true"/>
        <w:spacing w:lineRule="auto" w:line="240" w:before="0" w:after="0"/>
        <w:jc w:val="center"/>
        <w:outlineLvl w:val="1"/>
        <w:rPr/>
      </w:pPr>
      <w:r>
        <w:rPr>
          <w:rFonts w:eastAsia="Lucida Sans Unicode" w:cs="Times New Roman"/>
          <w:b/>
          <w:sz w:val="28"/>
          <w:szCs w:val="28"/>
        </w:rPr>
        <w:t>РЕШЕНИЕ</w:t>
      </w:r>
    </w:p>
    <w:p>
      <w:pPr>
        <w:pStyle w:val="Normal"/>
        <w:widowControl w:val="false"/>
        <w:numPr>
          <w:ilvl w:val="1"/>
          <w:numId w:val="1"/>
        </w:numPr>
        <w:tabs>
          <w:tab w:val="left" w:pos="0" w:leader="none"/>
        </w:tabs>
        <w:suppressAutoHyphens w:val="true"/>
        <w:spacing w:lineRule="auto" w:line="240" w:before="0" w:after="0"/>
        <w:jc w:val="right"/>
        <w:outlineLvl w:val="1"/>
        <w:rPr>
          <w:lang w:val="ru-RU"/>
        </w:rPr>
      </w:pPr>
      <w:r>
        <w:rPr>
          <w:rFonts w:eastAsia="Lucida Sans Unicode" w:cs="Times New Roman"/>
          <w:b/>
          <w:sz w:val="28"/>
          <w:szCs w:val="28"/>
          <w:lang w:val="ru-RU"/>
        </w:rPr>
        <w:t>проект</w:t>
      </w:r>
    </w:p>
    <w:p>
      <w:pPr>
        <w:pStyle w:val="Normal"/>
        <w:widowControl w:val="false"/>
        <w:numPr>
          <w:ilvl w:val="1"/>
          <w:numId w:val="1"/>
        </w:numPr>
        <w:tabs>
          <w:tab w:val="left" w:pos="0" w:leader="none"/>
        </w:tabs>
        <w:suppressAutoHyphens w:val="true"/>
        <w:spacing w:lineRule="auto" w:line="240" w:before="0" w:after="0"/>
        <w:jc w:val="right"/>
        <w:outlineLvl w:val="1"/>
        <w:rPr>
          <w:rFonts w:ascii="Times New Roman" w:hAnsi="Times New Roman" w:eastAsia="Lucida Sans Unicode" w:cs="Times New Roman"/>
          <w:b/>
          <w:b/>
          <w:sz w:val="28"/>
          <w:szCs w:val="28"/>
        </w:rPr>
      </w:pPr>
      <w:r>
        <w:rPr>
          <w:rFonts w:eastAsia="Lucida Sans Unicode" w:cs="Times New Roman"/>
          <w:b/>
          <w:sz w:val="28"/>
          <w:szCs w:val="28"/>
        </w:rPr>
      </w:r>
    </w:p>
    <w:p>
      <w:pPr>
        <w:pStyle w:val="Normal"/>
        <w:widowControl w:val="false"/>
        <w:numPr>
          <w:ilvl w:val="1"/>
          <w:numId w:val="1"/>
        </w:numPr>
        <w:tabs>
          <w:tab w:val="left" w:pos="0" w:leader="none"/>
        </w:tabs>
        <w:suppressAutoHyphens w:val="true"/>
        <w:spacing w:lineRule="auto" w:line="240" w:before="0" w:after="0"/>
        <w:jc w:val="center"/>
        <w:outlineLvl w:val="1"/>
        <w:rPr/>
      </w:pPr>
      <w:r>
        <w:rPr>
          <w:rFonts w:cs="Times New Roman"/>
          <w:b/>
          <w:sz w:val="28"/>
          <w:szCs w:val="28"/>
        </w:rPr>
        <w:t xml:space="preserve">№ </w:t>
      </w:r>
      <w:r>
        <w:rPr>
          <w:rFonts w:cs="Times New Roman"/>
          <w:b/>
          <w:sz w:val="28"/>
          <w:szCs w:val="28"/>
        </w:rPr>
        <w:t>_____                                                                                          от ____________ г.</w:t>
      </w:r>
      <w:r>
        <w:rPr>
          <w:rFonts w:eastAsia="Lucida Sans Unicode" w:cs="Times New Roman"/>
          <w:b/>
          <w:sz w:val="28"/>
          <w:szCs w:val="28"/>
        </w:rPr>
        <w:t xml:space="preserve"> </w:t>
      </w:r>
    </w:p>
    <w:p>
      <w:pPr>
        <w:pStyle w:val="Normal"/>
        <w:numPr>
          <w:ilvl w:val="0"/>
          <w:numId w:val="0"/>
        </w:numPr>
        <w:outlineLvl w:val="0"/>
        <w:rPr>
          <w:rFonts w:eastAsia="MS Mincho;ＭＳ 明朝"/>
          <w:b/>
          <w:b/>
          <w:sz w:val="26"/>
          <w:szCs w:val="26"/>
          <w:lang w:val="ru-RU"/>
        </w:rPr>
      </w:pPr>
      <w:r>
        <w:rPr>
          <w:rFonts w:eastAsia="MS Mincho;ＭＳ 明朝"/>
          <w:b/>
          <w:sz w:val="26"/>
          <w:szCs w:val="26"/>
          <w:lang w:val="ru-RU"/>
        </w:rPr>
      </w:r>
    </w:p>
    <w:p>
      <w:pPr>
        <w:pStyle w:val="Normal"/>
        <w:numPr>
          <w:ilvl w:val="0"/>
          <w:numId w:val="0"/>
        </w:numPr>
        <w:outlineLvl w:val="0"/>
        <w:rPr/>
      </w:pPr>
      <w:r>
        <w:rPr>
          <w:rFonts w:eastAsia="MS Mincho;ＭＳ 明朝"/>
          <w:b/>
          <w:sz w:val="26"/>
          <w:szCs w:val="26"/>
          <w:lang w:val="ru-RU"/>
        </w:rPr>
        <w:t xml:space="preserve">«О внесении изменений в Правила 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>
          <w:rFonts w:eastAsia="MS Mincho;ＭＳ 明朝"/>
          <w:b/>
          <w:sz w:val="26"/>
          <w:szCs w:val="26"/>
          <w:lang w:val="ru-RU"/>
        </w:rPr>
        <w:t xml:space="preserve">землепользования и застройки </w:t>
      </w:r>
    </w:p>
    <w:p>
      <w:pPr>
        <w:pStyle w:val="Normal"/>
        <w:rPr/>
      </w:pPr>
      <w:r>
        <w:rPr>
          <w:b/>
          <w:bCs/>
          <w:sz w:val="26"/>
          <w:szCs w:val="26"/>
          <w:lang w:val="ru-RU"/>
        </w:rPr>
        <w:t xml:space="preserve">сельского поселения Красносамарское </w:t>
      </w:r>
    </w:p>
    <w:p>
      <w:pPr>
        <w:pStyle w:val="Normal"/>
        <w:rPr/>
      </w:pPr>
      <w:r>
        <w:rPr>
          <w:b/>
          <w:bCs/>
          <w:sz w:val="26"/>
          <w:szCs w:val="26"/>
          <w:lang w:val="ru-RU"/>
        </w:rPr>
        <w:t xml:space="preserve">муниципального района Кинельский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bCs/>
          <w:sz w:val="26"/>
          <w:szCs w:val="26"/>
          <w:lang w:val="ru-RU"/>
        </w:rPr>
        <w:t>Самарской области»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В соответствии со статьей 33 Градостроительного кодекса Российской Федерации, пунктом 20 части 1 статьи 14 Федерального закона от 6 октября 2003 года №131-ФЗ «Об общих принципах организации местного самоуправления в Российской Федерации», статьей 10 Федерального закона от 13.07.2015г. 218-ФЗ «О государственной регистрации недвижимости», частью 12 статьи 34 Федерального закона от 23.06.2014 № 171-ФЗ «О внесении изменений в Земельный кодекс Российской Федерации и отдельные законодательные акты Российской Федерации», пунктом 2 статьи 7 Земельного Кодекса Российской Федерации,</w:t>
      </w:r>
      <w:r>
        <w:rPr/>
        <w:t xml:space="preserve"> </w:t>
      </w:r>
      <w:r>
        <w:rPr>
          <w:rFonts w:cs="Times New Roman"/>
          <w:sz w:val="28"/>
          <w:szCs w:val="28"/>
        </w:rPr>
        <w:t>приказом Минэкономразвития России от 16.12.2015г. № 943</w:t>
      </w:r>
      <w:r>
        <w:rPr/>
        <w:t xml:space="preserve"> </w:t>
      </w:r>
      <w:r>
        <w:rPr>
          <w:rFonts w:cs="Times New Roman"/>
          <w:sz w:val="28"/>
          <w:szCs w:val="28"/>
        </w:rPr>
        <w:t>«Об установлении порядка ведения Единого государственного реестра недвижимости, формы специальной регистрационной надписи на документе, выражающем содержание сделки, состава сведений, включаемых в специальную регистрационную надпись на документе, выражающем содержание сделки, и требований к ее заполнению, а также требований к формату специальной регистрационной надписи на документе, выражающем содержание сделки, в электронной форме, порядка изменения в Едином государственном реестре недвижимости сведений о местоположении границ земельного участка при исправлении реестровой ошибки», приказом Минэкономразвития России от 01.09.2014 № 540</w:t>
      </w:r>
      <w:r>
        <w:rPr/>
        <w:t xml:space="preserve"> «</w:t>
      </w:r>
      <w:r>
        <w:rPr>
          <w:rFonts w:cs="Times New Roman"/>
          <w:sz w:val="28"/>
          <w:szCs w:val="28"/>
        </w:rPr>
        <w:t xml:space="preserve">Об утверждении классификатора видов разрешенного использования земельных участков» Собрание представителей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>
        <w:rPr>
          <w:rFonts w:cs="Times New Roman"/>
          <w:sz w:val="28"/>
          <w:szCs w:val="28"/>
        </w:rPr>
        <w:t xml:space="preserve"> муниципального района Кинельский Самарской области РЕШИЛО: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 Внести в Правила землепользования и застройки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>
        <w:rPr>
          <w:rFonts w:cs="Times New Roman"/>
          <w:sz w:val="28"/>
          <w:szCs w:val="28"/>
        </w:rPr>
        <w:t xml:space="preserve"> муниципального района Кинельекий Самарской области, утвержденные решением Собрания представителей сельского поселения  </w:t>
      </w:r>
      <w:r>
        <w:rPr>
          <w:rFonts w:cs="Times New Roman"/>
          <w:sz w:val="28"/>
          <w:szCs w:val="28"/>
          <w:lang w:val="ru-RU"/>
        </w:rPr>
        <w:t>Красносамарское</w:t>
      </w:r>
      <w:r>
        <w:rPr>
          <w:rFonts w:cs="Times New Roman"/>
          <w:sz w:val="28"/>
          <w:szCs w:val="28"/>
        </w:rPr>
        <w:t xml:space="preserve"> муниципального района Кинельекий Самарской области от 18.12.2013г. № 280 (далее – Правила) следующие изменения: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 xml:space="preserve">1.1. Дополнить статью </w:t>
      </w:r>
      <w:r>
        <w:rPr>
          <w:rFonts w:cs="Times New Roman"/>
          <w:sz w:val="28"/>
          <w:szCs w:val="28"/>
        </w:rPr>
        <w:t>22</w:t>
      </w:r>
      <w:r>
        <w:rPr>
          <w:rFonts w:cs="Times New Roman"/>
          <w:sz w:val="28"/>
          <w:szCs w:val="28"/>
        </w:rPr>
        <w:t xml:space="preserve"> Правил основным видом разрешенного использования в зонах: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1.1.1. Ж1 - Зона застройки индивидуальными жилыми домами основным видом разрешенного использования: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1.1.2. Ж2 - Зона застройки малоэтажными жилыми домами основным видом разрешенного использования: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1.1.3. Ж5 – Зона размещения объектов дошкольного и общего образования</w:t>
      </w:r>
      <w:r>
        <w:rPr/>
        <w:t xml:space="preserve"> </w:t>
      </w:r>
      <w:r>
        <w:rPr>
          <w:rFonts w:cs="Times New Roman"/>
          <w:sz w:val="28"/>
          <w:szCs w:val="28"/>
        </w:rPr>
        <w:t>основным видом разрешенного использования: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 xml:space="preserve">1.2. </w:t>
      </w:r>
      <w:r>
        <w:rPr>
          <w:rFonts w:cs="Times New Roman"/>
          <w:sz w:val="28"/>
          <w:szCs w:val="28"/>
        </w:rPr>
        <w:t>Дополнить статью 23 Правил основным видом разрешенного использования в зон</w:t>
      </w:r>
      <w:r>
        <w:rPr>
          <w:rFonts w:cs="Times New Roman"/>
          <w:sz w:val="28"/>
          <w:szCs w:val="28"/>
          <w:lang w:val="ru-RU"/>
        </w:rPr>
        <w:t>е</w:t>
      </w:r>
      <w:r>
        <w:rPr>
          <w:rFonts w:cs="Times New Roman"/>
          <w:sz w:val="28"/>
          <w:szCs w:val="28"/>
        </w:rPr>
        <w:t>: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О1 - Зона </w:t>
      </w:r>
      <w:r>
        <w:rPr>
          <w:rFonts w:cs="Times New Roman"/>
          <w:sz w:val="28"/>
          <w:szCs w:val="28"/>
          <w:lang w:val="ru-RU"/>
        </w:rPr>
        <w:t xml:space="preserve">размещения объектов </w:t>
      </w:r>
      <w:r>
        <w:rPr>
          <w:rFonts w:cs="Times New Roman"/>
          <w:sz w:val="28"/>
          <w:szCs w:val="28"/>
        </w:rPr>
        <w:t xml:space="preserve">делового, общественного и коммерческого, </w:t>
      </w:r>
      <w:r>
        <w:rPr>
          <w:rFonts w:cs="Times New Roman"/>
          <w:sz w:val="28"/>
          <w:szCs w:val="28"/>
          <w:lang w:val="ru-RU"/>
        </w:rPr>
        <w:t>социального и коммунально-бытового</w:t>
      </w:r>
      <w:r>
        <w:rPr>
          <w:rFonts w:cs="Times New Roman"/>
          <w:sz w:val="28"/>
          <w:szCs w:val="28"/>
        </w:rPr>
        <w:t xml:space="preserve"> назначения основным видом разрешенного использования: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 xml:space="preserve"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 </w:t>
      </w:r>
    </w:p>
    <w:p>
      <w:pPr>
        <w:pStyle w:val="Normal"/>
        <w:spacing w:lineRule="auto" w:line="240" w:before="0" w:after="0"/>
        <w:ind w:left="0" w:right="0" w:firstLine="709"/>
        <w:jc w:val="both"/>
        <w:rPr/>
      </w:pPr>
      <w:r>
        <w:rPr>
          <w:rFonts w:cs="Times New Roman"/>
          <w:sz w:val="28"/>
          <w:szCs w:val="28"/>
        </w:rPr>
        <w:t xml:space="preserve">1.3. </w:t>
      </w:r>
      <w:r>
        <w:rPr>
          <w:rFonts w:cs="Times New Roman"/>
          <w:sz w:val="28"/>
          <w:szCs w:val="28"/>
        </w:rPr>
        <w:t>Дополнить статью 2</w:t>
      </w:r>
      <w:r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 xml:space="preserve"> Правил основным видом разрешенного использования в зонах: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1.</w:t>
      </w:r>
      <w:r>
        <w:rPr>
          <w:rFonts w:cs="Times New Roman"/>
          <w:sz w:val="28"/>
          <w:szCs w:val="28"/>
        </w:rPr>
        <w:t>3.1</w:t>
      </w:r>
      <w:r>
        <w:rPr>
          <w:rFonts w:cs="Times New Roman"/>
          <w:sz w:val="28"/>
          <w:szCs w:val="28"/>
        </w:rPr>
        <w:t>. Сх</w:t>
      </w:r>
      <w:r>
        <w:rPr>
          <w:rFonts w:cs="Times New Roman"/>
          <w:sz w:val="28"/>
          <w:szCs w:val="28"/>
        </w:rPr>
        <w:t>1</w:t>
      </w:r>
      <w:r>
        <w:rPr>
          <w:rFonts w:cs="Times New Roman"/>
          <w:sz w:val="28"/>
          <w:szCs w:val="28"/>
        </w:rPr>
        <w:t xml:space="preserve"> – Зона </w:t>
      </w:r>
      <w:r>
        <w:rPr>
          <w:rFonts w:cs="Times New Roman"/>
          <w:sz w:val="28"/>
          <w:szCs w:val="28"/>
          <w:lang w:val="ru-RU"/>
        </w:rPr>
        <w:t>сельскохозяйственных угодий основным видом использования</w:t>
      </w:r>
      <w:r>
        <w:rPr>
          <w:rFonts w:cs="Times New Roman"/>
          <w:sz w:val="28"/>
          <w:szCs w:val="28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1.</w:t>
      </w:r>
      <w:r>
        <w:rPr>
          <w:rFonts w:cs="Times New Roman"/>
          <w:sz w:val="28"/>
          <w:szCs w:val="28"/>
        </w:rPr>
        <w:t>3.2</w:t>
      </w:r>
      <w:r>
        <w:rPr>
          <w:rFonts w:cs="Times New Roman"/>
          <w:sz w:val="28"/>
          <w:szCs w:val="28"/>
        </w:rPr>
        <w:t xml:space="preserve">. </w:t>
        <w:tab/>
        <w:t>С</w:t>
      </w:r>
      <w:r>
        <w:rPr>
          <w:rFonts w:cs="Times New Roman"/>
          <w:sz w:val="28"/>
          <w:szCs w:val="28"/>
          <w:lang w:val="ru-RU"/>
        </w:rPr>
        <w:t>х3</w:t>
      </w:r>
      <w:r>
        <w:rPr>
          <w:rFonts w:cs="Times New Roman"/>
          <w:sz w:val="28"/>
          <w:szCs w:val="28"/>
        </w:rPr>
        <w:t xml:space="preserve"> — Зона </w:t>
      </w:r>
      <w:r>
        <w:rPr>
          <w:rFonts w:cs="Times New Roman"/>
          <w:sz w:val="28"/>
          <w:szCs w:val="28"/>
          <w:lang w:val="ru-RU"/>
        </w:rPr>
        <w:t>огородничества</w:t>
      </w:r>
      <w:r>
        <w:rPr/>
        <w:t xml:space="preserve"> </w:t>
      </w:r>
      <w:r>
        <w:rPr>
          <w:rFonts w:cs="Times New Roman"/>
          <w:sz w:val="28"/>
          <w:szCs w:val="28"/>
        </w:rPr>
        <w:t>основным видом разрешенного использования: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специальная деятельность (12.2): 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разрушающий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вторичной переработки;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 xml:space="preserve">. Опубликовать настоящее решение в газете «Вестник сельского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>
        <w:rPr>
          <w:rFonts w:cs="Times New Roman"/>
          <w:sz w:val="28"/>
          <w:szCs w:val="28"/>
        </w:rPr>
        <w:t xml:space="preserve">» </w:t>
      </w:r>
      <w:r>
        <w:rPr>
          <w:rFonts w:cs="Times New Roman"/>
          <w:sz w:val="28"/>
          <w:szCs w:val="28"/>
          <w:lang w:val="ru-RU"/>
        </w:rPr>
        <w:t xml:space="preserve">и </w:t>
      </w:r>
      <w:r>
        <w:rPr>
          <w:rFonts w:eastAsia="MS Mincho;ＭＳ 明朝" w:cs="Times New Roman"/>
          <w:sz w:val="28"/>
          <w:szCs w:val="28"/>
          <w:lang w:val="ru-RU"/>
        </w:rPr>
        <w:t>разместить на официальном сайте в сети «Интернет» в течение десяти дней со дня издания.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. </w:t>
      </w:r>
      <w:r>
        <w:rPr>
          <w:rFonts w:eastAsia="MS Mincho;ＭＳ 明朝" w:cs="Times New Roman"/>
          <w:bCs/>
          <w:sz w:val="28"/>
          <w:szCs w:val="28"/>
          <w:lang w:val="ru-RU"/>
        </w:rPr>
        <w:t>Настоящее решение вступает в силу на следующий день после его официального опубликования.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/>
          <w:sz w:val="28"/>
          <w:szCs w:val="28"/>
          <w:lang w:val="ru-RU"/>
        </w:rPr>
        <w:t>Г</w:t>
      </w:r>
      <w:r>
        <w:rPr>
          <w:rFonts w:cs="Times New Roman"/>
          <w:sz w:val="28"/>
          <w:szCs w:val="28"/>
          <w:lang w:val="ru-RU"/>
        </w:rPr>
        <w:t>лав</w:t>
      </w:r>
      <w:r>
        <w:rPr>
          <w:rFonts w:cs="Times New Roman"/>
          <w:sz w:val="28"/>
          <w:szCs w:val="28"/>
          <w:lang w:val="ru-RU"/>
        </w:rPr>
        <w:t xml:space="preserve">а </w:t>
      </w:r>
      <w:r>
        <w:rPr>
          <w:rFonts w:cs="Times New Roman"/>
          <w:sz w:val="28"/>
          <w:szCs w:val="28"/>
          <w:lang w:val="ru-RU"/>
        </w:rPr>
        <w:t>сельского</w:t>
      </w:r>
      <w:r>
        <w:rPr>
          <w:rFonts w:cs="Times New Roman"/>
          <w:sz w:val="28"/>
          <w:szCs w:val="28"/>
        </w:rPr>
        <w:t xml:space="preserve"> поселения </w:t>
      </w:r>
      <w:r>
        <w:rPr>
          <w:rFonts w:cs="Times New Roman"/>
          <w:sz w:val="28"/>
          <w:szCs w:val="28"/>
          <w:lang w:val="ru-RU"/>
        </w:rPr>
        <w:t>Красносамарское</w:t>
      </w:r>
      <w:r>
        <w:rPr>
          <w:rFonts w:cs="Times New Roman"/>
          <w:sz w:val="28"/>
          <w:szCs w:val="28"/>
        </w:rPr>
        <w:tab/>
        <w:tab/>
        <w:tab/>
        <w:t xml:space="preserve">  </w:t>
      </w:r>
      <w:r>
        <w:rPr>
          <w:rFonts w:cs="Times New Roman"/>
          <w:sz w:val="28"/>
          <w:szCs w:val="28"/>
          <w:lang w:val="ru-RU"/>
        </w:rPr>
        <w:t>Л.И.Юрчакова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suppressAutoHyphens w:val="true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cs="Times New Roman"/>
          <w:sz w:val="28"/>
          <w:szCs w:val="28"/>
          <w:lang w:eastAsia="ar-SA"/>
        </w:rPr>
        <w:t>Председатель Собрания представителей</w:t>
      </w:r>
    </w:p>
    <w:p>
      <w:pPr>
        <w:pStyle w:val="Normal"/>
        <w:suppressAutoHyphens w:val="true"/>
        <w:spacing w:lineRule="auto" w:line="240" w:before="0" w:after="0"/>
        <w:jc w:val="both"/>
        <w:rPr/>
      </w:pPr>
      <w:r>
        <w:rPr>
          <w:rFonts w:cs="Times New Roman"/>
          <w:sz w:val="28"/>
          <w:szCs w:val="28"/>
          <w:lang w:eastAsia="ar-SA"/>
        </w:rPr>
        <w:t xml:space="preserve">сельского поселения </w:t>
      </w:r>
      <w:r>
        <w:rPr>
          <w:rFonts w:cs="Times New Roman"/>
          <w:sz w:val="28"/>
          <w:szCs w:val="28"/>
          <w:lang w:val="ru-RU" w:eastAsia="ar-SA"/>
        </w:rPr>
        <w:t>Красносамарское</w:t>
      </w:r>
      <w:r>
        <w:rPr>
          <w:rFonts w:cs="Times New Roman"/>
          <w:sz w:val="28"/>
          <w:szCs w:val="28"/>
          <w:lang w:eastAsia="ar-SA"/>
        </w:rPr>
        <w:t xml:space="preserve">                                     </w:t>
      </w:r>
      <w:r>
        <w:rPr>
          <w:rFonts w:cs="Times New Roman"/>
          <w:sz w:val="28"/>
          <w:szCs w:val="28"/>
          <w:lang w:val="ru-RU" w:eastAsia="ar-SA"/>
        </w:rPr>
        <w:t>Л.Н.Полозюк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sz w:val="28"/>
        <w:b/>
        <w:szCs w:val="28"/>
        <w:rFonts w:ascii="Times New Roman" w:hAnsi="Times New Roman" w:eastAsia="Lucida Sans Unicode" w:cs="Times New Roman"/>
      </w:r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character" w:styleId="WW8Num1z0">
    <w:name w:val="WW8Num1z0"/>
    <w:qFormat/>
    <w:rPr/>
  </w:style>
  <w:style w:type="character" w:styleId="WW8Num1z1">
    <w:name w:val="WW8Num1z1"/>
    <w:qFormat/>
    <w:rPr>
      <w:rFonts w:ascii="Times New Roman" w:hAnsi="Times New Roman" w:eastAsia="Lucida Sans Unicode" w:cs="Times New Roman"/>
      <w:b/>
      <w:sz w:val="28"/>
      <w:szCs w:val="28"/>
    </w:rPr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 w:eastAsia="Lucida Sans Unicode" w:cs="Times New Roman"/>
      <w:b/>
      <w:sz w:val="28"/>
      <w:szCs w:val="28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37</TotalTime>
  <Application>LibreOffice/5.2.3.3$Windows_x86 LibreOffice_project/d54a8868f08a7b39642414cf2c8ef2f228f780cf</Application>
  <Pages>3</Pages>
  <Words>726</Words>
  <Characters>5895</Characters>
  <CharactersWithSpaces>6730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2019-01-14T10:56:25Z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